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данная форма не является обязательной,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2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носит рекомендательный характер,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22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заявление может быть оформлено в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722"/>
        <w:jc w:val="right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другом виде по усмотрению заявителя</w:t>
      </w:r>
      <w:r>
        <w:rPr>
          <w:rFonts w:ascii="Times New Roman" w:hAnsi="Times New Roman" w:cs="Times New Roman"/>
          <w:color w:val="000000"/>
          <w:sz w:val="24"/>
          <w:szCs w:val="16"/>
        </w:rPr>
      </w:r>
      <w:r>
        <w:rPr>
          <w:rFonts w:ascii="Times New Roman" w:hAnsi="Times New Roman" w:cs="Times New Roman"/>
          <w:color w:val="000000"/>
          <w:sz w:val="24"/>
          <w:szCs w:val="16"/>
        </w:rPr>
      </w:r>
    </w:p>
    <w:p>
      <w:pPr>
        <w:pStyle w:val="722"/>
        <w:ind w:left="4820" w:right="0"/>
        <w:jc w:val="both"/>
        <w:shd w:val="clear" w:color="auto" w:fill="ffffff"/>
        <w:tabs>
          <w:tab w:val="right" w:pos="9540" w:leader="none"/>
        </w:tabs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</w:r>
      <w:r>
        <w:rPr>
          <w:rFonts w:ascii="Times New Roman" w:hAnsi="Times New Roman" w:cs="Times New Roman"/>
          <w:color w:val="000000"/>
          <w:sz w:val="24"/>
          <w:szCs w:val="16"/>
        </w:rPr>
      </w:r>
    </w:p>
    <w:p>
      <w:pPr>
        <w:pStyle w:val="722"/>
        <w:ind w:left="4820" w:right="0"/>
        <w:jc w:val="both"/>
        <w:shd w:val="clear" w:color="auto" w:fill="ffffff"/>
        <w:tabs>
          <w:tab w:val="right" w:pos="9540" w:leader="none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ООО «КЭСКО»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722"/>
        <w:ind w:left="4820" w:right="0"/>
        <w:jc w:val="both"/>
        <w:tabs>
          <w:tab w:val="center" w:pos="6840" w:leader="none"/>
          <w:tab w:val="center" w:pos="9540" w:leader="none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____________________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722"/>
        <w:ind w:left="4961" w:right="0" w:hanging="141"/>
        <w:jc w:val="both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660025, г. Сосновоборск,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722"/>
        <w:ind w:left="4961" w:right="0" w:hanging="141"/>
        <w:jc w:val="both"/>
        <w:shd w:val="clear" w:color="auto" w:fill="ffffff"/>
        <w:tabs>
          <w:tab w:val="right" w:pos="14502" w:leader="none"/>
        </w:tabs>
      </w:pPr>
      <w:r>
        <w:rPr>
          <w:rFonts w:ascii="Times New Roman" w:hAnsi="Times New Roman" w:cs="Times New Roman"/>
          <w:color w:val="000000"/>
          <w:sz w:val="24"/>
        </w:rPr>
        <w:t xml:space="preserve">ул. Заводская, зд. 28, к. 3</w:t>
      </w:r>
      <w:r/>
    </w:p>
    <w:p>
      <w:pPr>
        <w:pStyle w:val="722"/>
        <w:ind w:left="4962" w:right="0" w:hanging="141"/>
        <w:jc w:val="both"/>
        <w:shd w:val="clear" w:color="auto" w:fill="ffffff"/>
        <w:tabs>
          <w:tab w:val="right" w:pos="9540" w:leader="none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fldChar w:fldCharType="begin"/>
      </w:r>
      <w:r>
        <w:instrText xml:space="preserve"> HYPERLINK "mailto:kesko@kraseco24.ru"</w:instrText>
      </w:r>
      <w:r>
        <w:fldChar w:fldCharType="separate"/>
      </w:r>
      <w:r>
        <w:rPr>
          <w:rStyle w:val="752"/>
          <w:rFonts w:ascii="Times New Roman" w:hAnsi="Times New Roman" w:cs="Times New Roman"/>
          <w:sz w:val="24"/>
          <w:lang w:val="en-US"/>
        </w:rPr>
        <w:t xml:space="preserve">kesko</w:t>
      </w:r>
      <w:r>
        <w:rPr>
          <w:rStyle w:val="752"/>
          <w:rFonts w:ascii="Times New Roman" w:hAnsi="Times New Roman" w:cs="Times New Roman"/>
          <w:sz w:val="24"/>
        </w:rPr>
        <w:t xml:space="preserve">@</w:t>
      </w:r>
      <w:r>
        <w:rPr>
          <w:rStyle w:val="752"/>
          <w:rFonts w:ascii="Times New Roman" w:hAnsi="Times New Roman" w:cs="Times New Roman"/>
          <w:sz w:val="24"/>
          <w:lang w:val="en-US"/>
        </w:rPr>
        <w:t xml:space="preserve">kraseco</w:t>
      </w:r>
      <w:r>
        <w:rPr>
          <w:rStyle w:val="752"/>
          <w:rFonts w:ascii="Times New Roman" w:hAnsi="Times New Roman" w:cs="Times New Roman"/>
          <w:sz w:val="24"/>
        </w:rPr>
        <w:t xml:space="preserve">24.ru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</w:p>
    <w:p>
      <w:pPr>
        <w:pStyle w:val="768"/>
        <w:ind w:left="4820" w:righ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</w:p>
    <w:p>
      <w:pPr>
        <w:pStyle w:val="768"/>
        <w:ind w:left="482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Собственник (наниматель) жилого помещения: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left="4820"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left="558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22"/>
        <w:ind w:right="0" w:firstLine="709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подтверждение заключения договора </w:t>
      </w:r>
      <w:r>
        <w:rPr>
          <w:rFonts w:ascii="Times New Roman" w:hAnsi="Times New Roman" w:cs="Times New Roman"/>
          <w:color w:val="000000"/>
          <w:sz w:val="24"/>
        </w:rPr>
        <w:t xml:space="preserve">на предоставление коммунальных ресурсов</w:t>
      </w:r>
      <w:r>
        <w:rPr>
          <w:rFonts w:ascii="Times New Roman" w:hAnsi="Times New Roman" w:cs="Times New Roman"/>
          <w:sz w:val="24"/>
        </w:rPr>
        <w:t xml:space="preserve"> сообщаю сведения</w:t>
      </w:r>
      <w:r>
        <w:rPr>
          <w:rFonts w:ascii="Times New Roman" w:hAnsi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1.Фамилия, имя, отчество: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Дата рождения: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Реквизиты документа, удостоверяющего личность: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Контактный телефон: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Адрес и характеристика объекта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ногоквартирный жилой дом (МКД), жилой дом, помещение в МКД, общежитие, баня, гараж)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7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69"/>
        <w:gridCol w:w="56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Этажность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Материал стен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Год постройки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</w:tbl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Размер (площадь) отапливаемого помещения: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5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жилой дом: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площадь: _______;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отапливаемая площадь: 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5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гараж: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площадь: 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отапливаемая площадь: 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5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баня: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площадь: 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отапливаемая площадь: 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5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иное: наименование ____________________;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__________________;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отапливаемая площадь____________________.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Количество проживающих лиц: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Наименование видов коммунальных ресурсов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(указать нужное):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Тепловая энергия;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Теплоноситель (горячая вода);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Холодная вода;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Сточные воды.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Цели использования энергетических ресурсов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(указать нужное)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Отопление;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Горячее водоснабжение через открытую систему теплоснабжения;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Горячее водоснабжение через теплообменный аппарат;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Централизованное холодное водоснабжение;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Холодное водоснабжение через водоразборную колонку;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Холодное водоснабжение через летний водопровод;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Централизованное водоотведение (канализация);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Транспортировка и очистка сточных вод (септик).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Степень благоустройства помещения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предоставляется с целью применения нормативов потребления коммунальных ресурсов):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7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69"/>
        <w:gridCol w:w="1390"/>
        <w:gridCol w:w="41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Характеристика благоустройства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Наличие (да/нет)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Дополнительные сведения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Горячее водоснабжение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Холодное водоснабжение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Ванна 1650-1700мм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Ванна 1500-1550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Сидячая ванна 1200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Ванна без душа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Душ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Раковина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Умывальник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Мойка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Унитаз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Уличная колонка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Канализация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Септик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9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Водонагреватель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722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</w:tbl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7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42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 сельскохозяйственных животных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голов, шт.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Крупный рогатый скот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Крупный рогатый скот, молодняк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Лошади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Свиньи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Овцы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Куры, индейки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Утки, гуси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68"/>
              <w:ind w:righ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Ind w:w="7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2410"/>
      </w:tblGrid>
      <w:tr>
        <w:tblPrEx/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Направления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Единицы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</w:t>
            </w:r>
            <w:r/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Баня при наличии водопровода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Баня при водоснабжении из уличной колонки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Мойка мотоцикла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Моек в месяц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Мойка автомобиля при наличии водопровода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Моек в месяц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Мойка автомобиля при водоснабжении из уличной колонки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Моек в месяц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Полив земельного участка при наличии водопровода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кв. метр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22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Полив земельного участка при водоснабжении из уличной колонки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кв. метр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74"/>
              <w:contextualSpacing/>
              <w:ind w:left="0" w:right="0" w:firstLine="709"/>
              <w:jc w:val="center"/>
              <w:spacing w:before="0" w:after="0" w:line="240" w:lineRule="auto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Сведения о наличии приборов учета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(отметить правильное, указать тип прибора учета):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прибор учета теплоносителя (горячей воды):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- 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Общий (квартирный) - 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Комнатный - 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Прибор учета не установлен.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прибор учета тепловой энергии: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- 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Общий (квартирный) - 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Комнатный - 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Прибор учета не установлен.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прибор учета холодной воды: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- 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Общий (квартирный) - 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Комнатный - 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Прибор учета не установлен.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прибор учета сточных вод: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- 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Общий (квартирный) - 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Комнатный - 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Прибор учета не установлен.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11.1. В случае, если прибор учета установлен указывается: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прибор учета теплоносителя (горячей воды):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установки (введения в эксплуатацию) прибора учета: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опломбирования прибора учета: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Установленный срок проведения очередной поверки: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прибор учета тепловой энергии: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установки (введения в эксплуатацию) прибора учета: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опломбирования прибора учета: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Установленный срок проведения очередной поверки: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прибор учета холодной воды: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установки (введения в эксплуатацию) прибора учета: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опломбирования прибора учета: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Установленный срок проведения очередной поверки: 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прибор учета сточных вод: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установки (введения в эксплуатацию) прибора учета: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опломбирования прибора учета: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Установленный срок проведения очередной поверки: 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 передачи в ресурсоснабжающую организацию показаний (указывается предпочтительный для заявителя):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нарочно по месту расположения представителя ресурсоснабжающей организации;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 (указывается адрес электронной почты заявителя): _____________________________________________________________________________;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другой: 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Меры социальной поддержки по оплате коммунальных ресурсов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их предоставления): 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13. Срок действия договора: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подтверждение 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на предоставление коммунальных ресурсов представляются следующие документы (в копиях):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а) документ, подтверждающий право собственности (пользования) на помещение в многоквартирном доме (жилой дом) (указывается название, номер и дата документа): ____________________________________________________________________________;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б) акт разграничения балансовой принадлежности и эксплуатационной ответственности (при наличии);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в) документ, удостоверяющий личность физического лица - собственника помещения (указывается наименование документа):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_____________________________________________________________________________;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г) документ, подтверждающий количество проживающих лиц</w:t>
      </w:r>
      <w:r>
        <w:rPr>
          <w:rStyle w:val="754"/>
          <w:rFonts w:ascii="Times New Roman" w:hAnsi="Times New Roman" w:eastAsia="Calibri" w:cs="Times New Roman"/>
          <w:sz w:val="24"/>
        </w:rPr>
        <w:footnoteReference w:id="2"/>
      </w:r>
      <w:r>
        <w:rPr>
          <w:rFonts w:ascii="Times New Roman" w:hAnsi="Times New Roman" w:eastAsia="Calibri" w:cs="Times New Roman"/>
          <w:sz w:val="24"/>
        </w:rPr>
        <w:t xml:space="preserve"> (по желанию заявителя): ___________________________________________________________________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_____________________________________________________________________________;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ind w:right="0" w:firstLine="709"/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д) документы, подтверждающие информацию, указанную в пункте 12 заявления (при их наличии; в случае отсутствия указывается, что документы отсутствуют):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Style w:val="722"/>
        <w:numPr>
          <w:ilvl w:val="0"/>
          <w:numId w:val="0"/>
        </w:numPr>
        <w:jc w:val="both"/>
        <w:widowControl/>
        <w:rPr>
          <w:rFonts w:ascii="Times New Roman" w:hAnsi="Times New Roman" w:eastAsia="Calibri" w:cs="Times New Roman"/>
          <w:sz w:val="24"/>
          <w:szCs w:val="24"/>
        </w:rPr>
        <w:outlineLvl w:val="1"/>
      </w:pPr>
      <w:r>
        <w:rPr>
          <w:rFonts w:ascii="Times New Roman" w:hAnsi="Times New Roman" w:eastAsia="Calibri" w:cs="Times New Roman"/>
          <w:sz w:val="24"/>
        </w:rPr>
        <w:t xml:space="preserve">_____________________________________________________________________________.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14. На новый лицевой счет прошу перенести платежи (сумма и дата):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_____________________________________________________________________________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_____________________________________________________________________________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_____________________________________________________________________________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_____________________________________________________________________________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ab/>
        <w:t xml:space="preserve">Указанные платежи подтверждены приложенными чеками.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</w:r>
    </w:p>
    <w:p>
      <w:pPr>
        <w:pStyle w:val="768"/>
        <w:ind w:left="0" w:right="0" w:firstLine="0"/>
        <w:jc w:val="both"/>
        <w:rPr>
          <w:rFonts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pStyle w:val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 20__г.</w:t>
        <w:tab/>
        <w:tab/>
        <w:tab/>
        <w:t xml:space="preserve">_____________/______________________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 xml:space="preserve">подпись</w:t>
        <w:tab/>
        <w:tab/>
        <w:t xml:space="preserve">ФИО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2"/>
        <w:ind w:right="0" w:firstLine="465"/>
        <w:jc w:val="both"/>
        <w:tabs>
          <w:tab w:val="left" w:pos="465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от 27.07.2006 г. № 152-ФЗ «О персона</w:t>
      </w:r>
      <w:r>
        <w:rPr>
          <w:rFonts w:ascii="Times New Roman" w:hAnsi="Times New Roman" w:cs="Times New Roman"/>
          <w:sz w:val="16"/>
          <w:szCs w:val="16"/>
        </w:rPr>
        <w:t xml:space="preserve">льных данных» настоящим выражаю свое согласие (несогласие) на обработку (сбор, систематизацию, накопление, хранение, уточнение, изменение, использование, распространение (в том числе передачу), обезличивание, блокирование, уничтожение персональных данных).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22"/>
        <w:ind w:left="5216" w:right="0"/>
        <w:jc w:val="both"/>
        <w:tabs>
          <w:tab w:val="left" w:pos="465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22"/>
        <w:ind w:left="5216" w:right="0"/>
        <w:jc w:val="both"/>
        <w:tabs>
          <w:tab w:val="left" w:pos="6195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 xml:space="preserve">___________________(____________)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722"/>
        <w:ind w:left="5216" w:right="0"/>
        <w:tabs>
          <w:tab w:val="left" w:pos="6885" w:leader="none"/>
          <w:tab w:val="left" w:pos="877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(ФИО)                                               (подпись)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Verdana">
    <w:panose1 w:val="020B0604030504040204"/>
  </w:font>
  <w:font w:name="Noto Sans">
    <w:panose1 w:val="020B0502040504020204"/>
  </w:font>
  <w:font w:name="Tahoma">
    <w:panose1 w:val="020B0604030504040204"/>
  </w:font>
  <w:font w:name="Times New Roman">
    <w:panose1 w:val="02020603050405020304"/>
  </w:font>
  <w:font w:name="Wingdings 2">
    <w:panose1 w:val="05040102010807070707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righ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Страница </w:t>
    </w:r>
    <w:r>
      <w:rPr>
        <w:rFonts w:ascii="Times New Roman" w:hAnsi="Times New Roman" w:cs="Times New Roman"/>
        <w:b/>
        <w:bCs/>
        <w:sz w:val="14"/>
        <w:szCs w:val="14"/>
      </w:rPr>
      <w:fldChar w:fldCharType="begin"/>
    </w:r>
    <w:r>
      <w:rPr>
        <w:rFonts w:ascii="Times New Roman" w:hAnsi="Times New Roman" w:cs="Times New Roman"/>
        <w:b/>
        <w:bCs/>
        <w:sz w:val="14"/>
        <w:szCs w:val="14"/>
      </w:rPr>
      <w:instrText xml:space="preserve"> PAGE </w:instrText>
    </w:r>
    <w:r>
      <w:rPr>
        <w:rFonts w:ascii="Times New Roman" w:hAnsi="Times New Roman" w:cs="Times New Roman"/>
        <w:b/>
        <w:bCs/>
        <w:sz w:val="14"/>
        <w:szCs w:val="14"/>
      </w:rPr>
      <w:fldChar w:fldCharType="separate"/>
    </w:r>
    <w:r>
      <w:rPr>
        <w:rFonts w:ascii="Times New Roman" w:hAnsi="Times New Roman" w:cs="Times New Roman"/>
        <w:b/>
        <w:bCs/>
        <w:sz w:val="14"/>
        <w:szCs w:val="14"/>
      </w:rPr>
      <w:t xml:space="preserve">5</w:t>
    </w:r>
    <w:r>
      <w:rPr>
        <w:rFonts w:ascii="Times New Roman" w:hAnsi="Times New Roman" w:cs="Times New Roman"/>
        <w:b/>
        <w:bCs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 xml:space="preserve"> из </w:t>
    </w:r>
    <w:r>
      <w:rPr>
        <w:rFonts w:ascii="Times New Roman" w:hAnsi="Times New Roman" w:cs="Times New Roman"/>
        <w:b/>
        <w:bCs/>
        <w:sz w:val="14"/>
        <w:szCs w:val="14"/>
      </w:rPr>
      <w:fldChar w:fldCharType="begin"/>
    </w:r>
    <w:r>
      <w:rPr>
        <w:rFonts w:ascii="Times New Roman" w:hAnsi="Times New Roman" w:cs="Times New Roman"/>
        <w:b/>
        <w:bCs/>
        <w:sz w:val="14"/>
        <w:szCs w:val="14"/>
      </w:rPr>
      <w:instrText xml:space="preserve"> NUMPAGES \* ARABIC </w:instrText>
    </w:r>
    <w:r>
      <w:rPr>
        <w:rFonts w:ascii="Times New Roman" w:hAnsi="Times New Roman" w:cs="Times New Roman"/>
        <w:b/>
        <w:bCs/>
        <w:sz w:val="14"/>
        <w:szCs w:val="14"/>
      </w:rPr>
      <w:fldChar w:fldCharType="separate"/>
    </w:r>
    <w:r>
      <w:rPr>
        <w:rFonts w:ascii="Times New Roman" w:hAnsi="Times New Roman" w:cs="Times New Roman"/>
        <w:b/>
        <w:bCs/>
        <w:sz w:val="14"/>
        <w:szCs w:val="14"/>
      </w:rPr>
      <w:t xml:space="preserve">5</w:t>
    </w:r>
    <w:r>
      <w:rPr>
        <w:rFonts w:ascii="Times New Roman" w:hAnsi="Times New Roman" w:cs="Times New Roman"/>
        <w:b/>
        <w:bCs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</w:r>
    <w:r>
      <w:rPr>
        <w:rFonts w:ascii="Times New Roman" w:hAnsi="Times New Roman" w:cs="Times New Roman"/>
        <w:sz w:val="14"/>
        <w:szCs w:val="14"/>
      </w:rPr>
    </w:r>
  </w:p>
  <w:p>
    <w:pPr>
      <w:pStyle w:val="772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</w:r>
    <w:r>
      <w:rPr>
        <w:rFonts w:ascii="Times New Roman" w:hAnsi="Times New Roman" w:cs="Times New Roman"/>
        <w:sz w:val="14"/>
        <w:szCs w:val="1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69"/>
        <w:rPr>
          <w:rFonts w:ascii="Times New Roman" w:hAnsi="Times New Roman" w:eastAsia="Calibri" w:cs="Times New Roman"/>
        </w:rPr>
      </w:pPr>
      <w:r>
        <w:rPr>
          <w:rStyle w:val="754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 w:eastAsia="Calibri" w:cs="Times New Roman"/>
        </w:rPr>
        <w:t xml:space="preserve">Справка уполномоченного органа на выдачу таких документов. 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769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Уполномоченными органами являются: Администрация населенного пункта, Товарищество собственников жилья, Управляющая компания.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769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722"/>
        <w:jc w:val="both"/>
        <w:widowControl/>
        <w:rPr>
          <w:rFonts w:ascii="Times New Roman" w:hAnsi="Times New Roman" w:eastAsia="Calibri" w:cs="Times New Roman"/>
          <w:szCs w:val="20"/>
          <w:lang w:eastAsia="ru-RU"/>
        </w:rPr>
      </w:pPr>
      <w:r>
        <w:rPr>
          <w:rFonts w:ascii="Times New Roman" w:hAnsi="Times New Roman" w:eastAsia="Calibri" w:cs="Times New Roman"/>
          <w:szCs w:val="20"/>
          <w:lang w:eastAsia="ru-RU"/>
        </w:rPr>
        <w:t xml:space="preserve">Договор на предоставление коммунальных ресурсов составлен в устной форме в соо</w:t>
      </w:r>
      <w:r>
        <w:rPr>
          <w:rFonts w:ascii="Times New Roman" w:hAnsi="Times New Roman" w:eastAsia="Calibri" w:cs="Times New Roman"/>
          <w:szCs w:val="20"/>
          <w:lang w:eastAsia="ru-RU"/>
        </w:rPr>
        <w:t xml:space="preserve">тветствии с ч.6 ст. 157.2. Жилищного кодекса Российской Федерации и п.6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06.05.2011№ 354.</w:t>
      </w:r>
      <w:r>
        <w:rPr>
          <w:rFonts w:ascii="Times New Roman" w:hAnsi="Times New Roman" w:eastAsia="Calibri" w:cs="Times New Roman"/>
          <w:szCs w:val="20"/>
          <w:lang w:eastAsia="ru-RU"/>
        </w:rPr>
      </w:r>
      <w:r>
        <w:rPr>
          <w:rFonts w:ascii="Times New Roman" w:hAnsi="Times New Roman" w:eastAsia="Calibri" w:cs="Times New Roman"/>
          <w:szCs w:val="20"/>
          <w:lang w:eastAsia="ru-RU"/>
        </w:rPr>
      </w:r>
    </w:p>
    <w:p>
      <w:pPr>
        <w:pStyle w:val="769"/>
        <w:rPr>
          <w:rFonts w:ascii="Times New Roman" w:hAnsi="Times New Roman" w:eastAsia="Calibri" w:cs="Times New Roman"/>
          <w:szCs w:val="20"/>
          <w:lang w:eastAsia="ru-RU"/>
        </w:rPr>
      </w:pPr>
      <w:r>
        <w:rPr>
          <w:rFonts w:ascii="Times New Roman" w:hAnsi="Times New Roman" w:eastAsia="Calibri" w:cs="Times New Roman"/>
          <w:szCs w:val="20"/>
          <w:lang w:eastAsia="ru-RU"/>
        </w:rPr>
      </w:r>
      <w:r>
        <w:rPr>
          <w:rFonts w:ascii="Times New Roman" w:hAnsi="Times New Roman" w:eastAsia="Calibri" w:cs="Times New Roman"/>
          <w:szCs w:val="20"/>
          <w:lang w:eastAsia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rFonts w:ascii="Cambria" w:hAnsi="Cambria" w:eastAsia="Times New Roman" w:cs="Cambria"/>
        <w:sz w:val="32"/>
        <w:szCs w:val="32"/>
      </w:rPr>
      <w:pBdr>
        <w:top w:val="none" w:color="000000" w:sz="0" w:space="0"/>
        <w:left w:val="none" w:color="000000" w:sz="0" w:space="0"/>
        <w:bottom w:val="single" w:color="622423" w:sz="24" w:space="1"/>
        <w:right w:val="none" w:color="000000" w:sz="0" w:space="0"/>
      </w:pBdr>
    </w:pPr>
    <w:r>
      <w:rPr>
        <w:rFonts w:ascii="Times New Roman" w:hAnsi="Times New Roman" w:cs="Times New Roman"/>
        <w:b/>
        <w:color w:val="000000"/>
        <w:sz w:val="24"/>
      </w:rPr>
      <w:footnoteRef/>
      <w:t xml:space="preserve">Сведения о заключении договора на предоставление коммунальных ресурсов</w:t>
    </w:r>
    <w:r>
      <w:rPr>
        <w:rFonts w:ascii="Cambria" w:hAnsi="Cambria" w:eastAsia="Times New Roman" w:cs="Cambria"/>
        <w:sz w:val="32"/>
        <w:szCs w:val="32"/>
      </w:rPr>
    </w:r>
    <w:r>
      <w:rPr>
        <w:rFonts w:ascii="Cambria" w:hAnsi="Cambria" w:eastAsia="Times New Roman" w:cs="Cambria"/>
        <w:sz w:val="32"/>
        <w:szCs w:val="32"/>
      </w:rPr>
    </w:r>
  </w:p>
  <w:p>
    <w:pPr>
      <w:pStyle w:val="771"/>
      <w:rPr>
        <w:rFonts w:ascii="Cambria" w:hAnsi="Cambria" w:eastAsia="Times New Roman" w:cs="Cambria"/>
        <w:sz w:val="32"/>
        <w:szCs w:val="32"/>
      </w:rPr>
    </w:pPr>
    <w:r>
      <w:rPr>
        <w:rFonts w:ascii="Cambria" w:hAnsi="Cambria" w:eastAsia="Times New Roman" w:cs="Cambria"/>
        <w:sz w:val="32"/>
        <w:szCs w:val="32"/>
      </w:rPr>
    </w:r>
    <w:r>
      <w:rPr>
        <w:rFonts w:ascii="Cambria" w:hAnsi="Cambria" w:eastAsia="Times New Roman" w:cs="Cambria"/>
        <w:sz w:val="32"/>
        <w:szCs w:val="3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"/>
      <w:lvlJc w:val="left"/>
      <w:pPr>
        <w:ind w:left="1440" w:hanging="360"/>
        <w:tabs>
          <w:tab w:val="num" w:pos="0" w:leader="none"/>
        </w:tabs>
      </w:pPr>
      <w:rPr>
        <w:rFonts w:ascii="Wingdings 2" w:hAnsi="Wingdings 2" w:cs="Wingdings 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"/>
      <w:lvlJc w:val="left"/>
      <w:pPr>
        <w:ind w:left="1778" w:hanging="360"/>
        <w:tabs>
          <w:tab w:val="num" w:pos="0" w:leader="none"/>
        </w:tabs>
      </w:pPr>
      <w:rPr>
        <w:rFonts w:ascii="Wingdings 2" w:hAnsi="Wingdings 2" w:cs="Wingdings 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0" w:leader="none"/>
        </w:tabs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2"/>
    <w:next w:val="7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2"/>
    <w:next w:val="7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2"/>
    <w:next w:val="7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2"/>
    <w:next w:val="7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2"/>
    <w:next w:val="7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2"/>
    <w:next w:val="7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2"/>
    <w:next w:val="7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2"/>
    <w:next w:val="7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2"/>
    <w:next w:val="7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771"/>
    <w:uiPriority w:val="99"/>
  </w:style>
  <w:style w:type="character" w:styleId="45">
    <w:name w:val="Footer Char"/>
    <w:basedOn w:val="11"/>
    <w:link w:val="772"/>
    <w:uiPriority w:val="99"/>
  </w:style>
  <w:style w:type="character" w:styleId="47">
    <w:name w:val="Caption Char"/>
    <w:basedOn w:val="11"/>
    <w:link w:val="765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69"/>
    <w:uiPriority w:val="99"/>
    <w:rPr>
      <w:sz w:val="18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table" w:styleId="7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2" w:default="1">
    <w:name w:val="Normal"/>
    <w:next w:val="722"/>
    <w:link w:val="722"/>
    <w:pPr>
      <w:widowControl w:val="off"/>
    </w:pPr>
    <w:rPr>
      <w:rFonts w:ascii="Arial" w:hAnsi="Arial" w:eastAsia="Arial Unicode MS" w:cs="Arial"/>
      <w:color w:val="auto"/>
      <w:sz w:val="20"/>
      <w:szCs w:val="24"/>
      <w:lang w:val="ru-RU" w:eastAsia="zh-CN" w:bidi="ar-SA"/>
    </w:rPr>
  </w:style>
  <w:style w:type="character" w:styleId="723">
    <w:name w:val="WW8Num1z0"/>
    <w:next w:val="723"/>
    <w:link w:val="722"/>
  </w:style>
  <w:style w:type="character" w:styleId="724">
    <w:name w:val="WW8Num2z0"/>
    <w:next w:val="724"/>
    <w:link w:val="722"/>
  </w:style>
  <w:style w:type="character" w:styleId="725">
    <w:name w:val="WW8Num4z0"/>
    <w:next w:val="725"/>
    <w:link w:val="722"/>
    <w:rPr>
      <w:rFonts w:ascii="Symbol" w:hAnsi="Symbol" w:cs="Symbol"/>
    </w:rPr>
  </w:style>
  <w:style w:type="character" w:styleId="726">
    <w:name w:val="WW8Num4z1"/>
    <w:next w:val="726"/>
    <w:link w:val="722"/>
    <w:rPr>
      <w:rFonts w:ascii="Courier New" w:hAnsi="Courier New" w:cs="Courier New"/>
    </w:rPr>
  </w:style>
  <w:style w:type="character" w:styleId="727">
    <w:name w:val="WW8Num4z2"/>
    <w:next w:val="727"/>
    <w:link w:val="722"/>
    <w:rPr>
      <w:rFonts w:ascii="Wingdings" w:hAnsi="Wingdings" w:cs="Wingdings"/>
    </w:rPr>
  </w:style>
  <w:style w:type="character" w:styleId="728">
    <w:name w:val="WW8Num5z0"/>
    <w:next w:val="728"/>
    <w:link w:val="722"/>
    <w:rPr>
      <w:rFonts w:ascii="Symbol" w:hAnsi="Symbol" w:cs="Symbol"/>
    </w:rPr>
  </w:style>
  <w:style w:type="character" w:styleId="729">
    <w:name w:val="WW8Num5z1"/>
    <w:next w:val="729"/>
    <w:link w:val="722"/>
    <w:rPr>
      <w:rFonts w:ascii="Courier New" w:hAnsi="Courier New" w:cs="Courier New"/>
    </w:rPr>
  </w:style>
  <w:style w:type="character" w:styleId="730">
    <w:name w:val="WW8Num5z2"/>
    <w:next w:val="730"/>
    <w:link w:val="722"/>
    <w:rPr>
      <w:rFonts w:ascii="Wingdings" w:hAnsi="Wingdings" w:cs="Wingdings"/>
    </w:rPr>
  </w:style>
  <w:style w:type="character" w:styleId="731">
    <w:name w:val="WW8Num6z0"/>
    <w:next w:val="731"/>
    <w:link w:val="722"/>
  </w:style>
  <w:style w:type="character" w:styleId="732">
    <w:name w:val="WW8Num7z0"/>
    <w:next w:val="732"/>
    <w:link w:val="722"/>
  </w:style>
  <w:style w:type="character" w:styleId="733">
    <w:name w:val="WW8Num8z0"/>
    <w:next w:val="733"/>
    <w:link w:val="722"/>
    <w:rPr>
      <w:rFonts w:ascii="Courier New" w:hAnsi="Courier New" w:cs="Courier New"/>
    </w:rPr>
  </w:style>
  <w:style w:type="character" w:styleId="734">
    <w:name w:val="WW8Num8z2"/>
    <w:next w:val="734"/>
    <w:link w:val="722"/>
    <w:rPr>
      <w:rFonts w:ascii="Wingdings" w:hAnsi="Wingdings" w:cs="Wingdings"/>
    </w:rPr>
  </w:style>
  <w:style w:type="character" w:styleId="735">
    <w:name w:val="WW8Num8z3"/>
    <w:next w:val="735"/>
    <w:link w:val="722"/>
    <w:rPr>
      <w:rFonts w:ascii="Symbol" w:hAnsi="Symbol" w:cs="Symbol"/>
    </w:rPr>
  </w:style>
  <w:style w:type="character" w:styleId="736">
    <w:name w:val="WW8Num9z0"/>
    <w:next w:val="736"/>
    <w:link w:val="722"/>
  </w:style>
  <w:style w:type="character" w:styleId="737">
    <w:name w:val="WW8Num10z0"/>
    <w:next w:val="737"/>
    <w:link w:val="722"/>
  </w:style>
  <w:style w:type="character" w:styleId="738">
    <w:name w:val="WW8Num11z0"/>
    <w:next w:val="738"/>
    <w:link w:val="722"/>
  </w:style>
  <w:style w:type="character" w:styleId="739">
    <w:name w:val="WW8Num12z0"/>
    <w:next w:val="739"/>
    <w:link w:val="722"/>
    <w:rPr>
      <w:rFonts w:ascii="Wingdings 2" w:hAnsi="Wingdings 2" w:cs="Wingdings 2"/>
    </w:rPr>
  </w:style>
  <w:style w:type="character" w:styleId="740">
    <w:name w:val="WW8Num12z1"/>
    <w:next w:val="740"/>
    <w:link w:val="722"/>
    <w:rPr>
      <w:rFonts w:ascii="Courier New" w:hAnsi="Courier New" w:cs="Courier New"/>
    </w:rPr>
  </w:style>
  <w:style w:type="character" w:styleId="741">
    <w:name w:val="WW8Num12z2"/>
    <w:next w:val="741"/>
    <w:link w:val="722"/>
    <w:rPr>
      <w:rFonts w:ascii="Wingdings" w:hAnsi="Wingdings" w:cs="Wingdings"/>
    </w:rPr>
  </w:style>
  <w:style w:type="character" w:styleId="742">
    <w:name w:val="WW8Num12z3"/>
    <w:next w:val="742"/>
    <w:link w:val="722"/>
    <w:rPr>
      <w:rFonts w:ascii="Symbol" w:hAnsi="Symbol" w:cs="Symbol"/>
    </w:rPr>
  </w:style>
  <w:style w:type="character" w:styleId="743">
    <w:name w:val="WW8Num13z0"/>
    <w:next w:val="743"/>
    <w:link w:val="722"/>
    <w:rPr>
      <w:rFonts w:ascii="Wingdings 2" w:hAnsi="Wingdings 2" w:cs="Wingdings 2"/>
    </w:rPr>
  </w:style>
  <w:style w:type="character" w:styleId="744">
    <w:name w:val="WW8Num13z1"/>
    <w:next w:val="744"/>
    <w:link w:val="722"/>
    <w:rPr>
      <w:rFonts w:ascii="Courier New" w:hAnsi="Courier New" w:cs="Courier New"/>
    </w:rPr>
  </w:style>
  <w:style w:type="character" w:styleId="745">
    <w:name w:val="WW8Num13z2"/>
    <w:next w:val="745"/>
    <w:link w:val="722"/>
    <w:rPr>
      <w:rFonts w:ascii="Wingdings" w:hAnsi="Wingdings" w:cs="Wingdings"/>
    </w:rPr>
  </w:style>
  <w:style w:type="character" w:styleId="746">
    <w:name w:val="WW8Num13z3"/>
    <w:next w:val="746"/>
    <w:link w:val="722"/>
    <w:rPr>
      <w:rFonts w:ascii="Symbol" w:hAnsi="Symbol" w:cs="Symbol"/>
    </w:rPr>
  </w:style>
  <w:style w:type="character" w:styleId="747">
    <w:name w:val="WW8Num14z0"/>
    <w:next w:val="747"/>
    <w:link w:val="722"/>
    <w:rPr>
      <w:rFonts w:ascii="Courier New" w:hAnsi="Courier New" w:cs="Courier New"/>
    </w:rPr>
  </w:style>
  <w:style w:type="character" w:styleId="748">
    <w:name w:val="WW8Num15z0"/>
    <w:next w:val="748"/>
    <w:link w:val="722"/>
    <w:rPr>
      <w:rFonts w:ascii="Courier New" w:hAnsi="Courier New" w:cs="Courier New"/>
    </w:rPr>
  </w:style>
  <w:style w:type="character" w:styleId="749">
    <w:name w:val="WW8Num15z2"/>
    <w:next w:val="749"/>
    <w:link w:val="722"/>
    <w:rPr>
      <w:rFonts w:ascii="Wingdings" w:hAnsi="Wingdings" w:cs="Wingdings"/>
    </w:rPr>
  </w:style>
  <w:style w:type="character" w:styleId="750">
    <w:name w:val="WW8Num15z3"/>
    <w:next w:val="750"/>
    <w:link w:val="722"/>
    <w:rPr>
      <w:rFonts w:ascii="Symbol" w:hAnsi="Symbol" w:cs="Symbol"/>
    </w:rPr>
  </w:style>
  <w:style w:type="character" w:styleId="751">
    <w:name w:val="Основной шрифт абзаца"/>
    <w:next w:val="751"/>
    <w:link w:val="722"/>
  </w:style>
  <w:style w:type="character" w:styleId="752">
    <w:name w:val="Hyperlink"/>
    <w:next w:val="752"/>
    <w:link w:val="722"/>
    <w:rPr>
      <w:color w:val="0000ff"/>
      <w:u w:val="single"/>
    </w:rPr>
  </w:style>
  <w:style w:type="character" w:styleId="753">
    <w:name w:val="Текст сноски Знак"/>
    <w:next w:val="753"/>
    <w:link w:val="722"/>
    <w:rPr>
      <w:rFonts w:ascii="Arial" w:hAnsi="Arial" w:eastAsia="Arial Unicode MS" w:cs="Arial"/>
    </w:rPr>
  </w:style>
  <w:style w:type="character" w:styleId="754">
    <w:name w:val="Символ сноски"/>
    <w:next w:val="754"/>
    <w:link w:val="722"/>
    <w:rPr>
      <w:vertAlign w:val="superscript"/>
    </w:rPr>
  </w:style>
  <w:style w:type="character" w:styleId="755">
    <w:name w:val="Верхний колонтитул Знак"/>
    <w:next w:val="755"/>
    <w:link w:val="722"/>
    <w:rPr>
      <w:rFonts w:ascii="Arial" w:hAnsi="Arial" w:eastAsia="Arial Unicode MS" w:cs="Arial"/>
      <w:szCs w:val="24"/>
    </w:rPr>
  </w:style>
  <w:style w:type="character" w:styleId="756">
    <w:name w:val="Нижний колонтитул Знак"/>
    <w:next w:val="756"/>
    <w:link w:val="722"/>
    <w:rPr>
      <w:rFonts w:ascii="Arial" w:hAnsi="Arial" w:eastAsia="Arial Unicode MS" w:cs="Arial"/>
      <w:szCs w:val="24"/>
    </w:rPr>
  </w:style>
  <w:style w:type="character" w:styleId="757">
    <w:name w:val="Текст выноски Знак"/>
    <w:next w:val="757"/>
    <w:link w:val="722"/>
    <w:rPr>
      <w:rFonts w:ascii="Tahoma" w:hAnsi="Tahoma" w:eastAsia="Arial Unicode MS" w:cs="Tahoma"/>
      <w:sz w:val="16"/>
      <w:szCs w:val="16"/>
    </w:rPr>
  </w:style>
  <w:style w:type="character" w:styleId="758">
    <w:name w:val="page number"/>
    <w:next w:val="758"/>
    <w:link w:val="722"/>
  </w:style>
  <w:style w:type="character" w:styleId="759">
    <w:name w:val="footnote reference"/>
    <w:next w:val="759"/>
    <w:link w:val="722"/>
    <w:rPr>
      <w:vertAlign w:val="superscript"/>
    </w:rPr>
  </w:style>
  <w:style w:type="character" w:styleId="760">
    <w:name w:val="endnote reference"/>
    <w:next w:val="760"/>
    <w:link w:val="722"/>
    <w:rPr>
      <w:vertAlign w:val="superscript"/>
    </w:rPr>
  </w:style>
  <w:style w:type="character" w:styleId="761">
    <w:name w:val="Символ концевой сноски"/>
    <w:next w:val="761"/>
    <w:link w:val="722"/>
  </w:style>
  <w:style w:type="paragraph" w:styleId="762">
    <w:name w:val="Заголовок"/>
    <w:basedOn w:val="722"/>
    <w:next w:val="763"/>
    <w:link w:val="722"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63">
    <w:name w:val="Body Text"/>
    <w:basedOn w:val="722"/>
    <w:next w:val="763"/>
    <w:link w:val="722"/>
    <w:pPr>
      <w:spacing w:before="0" w:after="140" w:line="276" w:lineRule="auto"/>
    </w:pPr>
  </w:style>
  <w:style w:type="paragraph" w:styleId="764">
    <w:name w:val="List"/>
    <w:basedOn w:val="763"/>
    <w:next w:val="764"/>
    <w:link w:val="722"/>
    <w:rPr>
      <w:rFonts w:cs="Noto Sans"/>
    </w:rPr>
  </w:style>
  <w:style w:type="paragraph" w:styleId="765">
    <w:name w:val="Caption"/>
    <w:basedOn w:val="722"/>
    <w:next w:val="765"/>
    <w:link w:val="722"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766">
    <w:name w:val="Указатель"/>
    <w:basedOn w:val="722"/>
    <w:next w:val="766"/>
    <w:link w:val="722"/>
    <w:pPr>
      <w:suppressLineNumbers/>
    </w:pPr>
    <w:rPr>
      <w:rFonts w:cs="Noto Sans"/>
    </w:rPr>
  </w:style>
  <w:style w:type="paragraph" w:styleId="767">
    <w:name w:val="ConsPlusNonformat"/>
    <w:next w:val="767"/>
    <w:link w:val="722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68">
    <w:name w:val="Обычный (веб)"/>
    <w:basedOn w:val="722"/>
    <w:next w:val="768"/>
    <w:link w:val="722"/>
    <w:rPr>
      <w:rFonts w:ascii="Verdana" w:hAnsi="Verdana" w:cs="Verdana"/>
      <w:sz w:val="16"/>
      <w:szCs w:val="16"/>
    </w:rPr>
  </w:style>
  <w:style w:type="paragraph" w:styleId="769">
    <w:name w:val="footnote text"/>
    <w:basedOn w:val="722"/>
    <w:next w:val="769"/>
    <w:link w:val="722"/>
    <w:rPr>
      <w:szCs w:val="20"/>
    </w:rPr>
  </w:style>
  <w:style w:type="paragraph" w:styleId="770">
    <w:name w:val="Header and Footer"/>
    <w:basedOn w:val="722"/>
    <w:next w:val="770"/>
    <w:link w:val="722"/>
    <w:pPr>
      <w:tabs>
        <w:tab w:val="center" w:pos="4819" w:leader="none"/>
        <w:tab w:val="right" w:pos="9638" w:leader="none"/>
      </w:tabs>
      <w:suppressLineNumbers/>
    </w:pPr>
  </w:style>
  <w:style w:type="paragraph" w:styleId="771">
    <w:name w:val="Header"/>
    <w:basedOn w:val="722"/>
    <w:next w:val="771"/>
    <w:link w:val="722"/>
    <w:pPr>
      <w:tabs>
        <w:tab w:val="center" w:pos="4677" w:leader="none"/>
        <w:tab w:val="right" w:pos="9355" w:leader="none"/>
      </w:tabs>
    </w:pPr>
  </w:style>
  <w:style w:type="paragraph" w:styleId="772">
    <w:name w:val="Footer"/>
    <w:basedOn w:val="722"/>
    <w:next w:val="772"/>
    <w:link w:val="722"/>
    <w:pPr>
      <w:tabs>
        <w:tab w:val="center" w:pos="4677" w:leader="none"/>
        <w:tab w:val="right" w:pos="9355" w:leader="none"/>
      </w:tabs>
    </w:pPr>
  </w:style>
  <w:style w:type="paragraph" w:styleId="773">
    <w:name w:val="Текст выноски"/>
    <w:basedOn w:val="722"/>
    <w:next w:val="773"/>
    <w:link w:val="722"/>
    <w:rPr>
      <w:rFonts w:ascii="Tahoma" w:hAnsi="Tahoma" w:cs="Tahoma"/>
      <w:sz w:val="16"/>
      <w:szCs w:val="16"/>
    </w:rPr>
  </w:style>
  <w:style w:type="paragraph" w:styleId="774">
    <w:name w:val="Абзац списка"/>
    <w:basedOn w:val="722"/>
    <w:next w:val="774"/>
    <w:link w:val="722"/>
    <w:pPr>
      <w:contextualSpacing/>
      <w:ind w:left="720" w:right="0" w:firstLine="0"/>
      <w:spacing w:before="0" w:after="200" w:line="276" w:lineRule="auto"/>
      <w:widowControl/>
    </w:pPr>
    <w:rPr>
      <w:rFonts w:ascii="Calibri" w:hAnsi="Calibri" w:eastAsia="Times New Roman" w:cs="Times New Roman"/>
      <w:sz w:val="22"/>
      <w:szCs w:val="22"/>
    </w:rPr>
  </w:style>
  <w:style w:type="paragraph" w:styleId="775">
    <w:name w:val="Содержимое таблицы"/>
    <w:basedOn w:val="722"/>
    <w:next w:val="775"/>
    <w:link w:val="722"/>
    <w:pPr>
      <w:widowControl w:val="off"/>
      <w:suppressLineNumbers/>
    </w:pPr>
  </w:style>
  <w:style w:type="paragraph" w:styleId="776">
    <w:name w:val="Заголовок таблицы"/>
    <w:basedOn w:val="775"/>
    <w:next w:val="776"/>
    <w:link w:val="722"/>
    <w:pPr>
      <w:jc w:val="center"/>
      <w:suppressLineNumbers/>
    </w:pPr>
    <w:rPr>
      <w:b/>
      <w:bCs/>
    </w:rPr>
  </w:style>
  <w:style w:type="character" w:styleId="2537" w:default="1">
    <w:name w:val="Default Paragraph Font"/>
    <w:uiPriority w:val="1"/>
    <w:semiHidden/>
    <w:unhideWhenUsed/>
  </w:style>
  <w:style w:type="numbering" w:styleId="25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заключении договора на предоставление коммунальных ресурсов</dc:title>
  <dc:creator>Ирина Викторовна Смирнова</dc:creator>
  <cp:lastModifiedBy>eatrohova</cp:lastModifiedBy>
  <cp:revision>5</cp:revision>
  <dcterms:created xsi:type="dcterms:W3CDTF">2025-05-06T05:18:00Z</dcterms:created>
  <dcterms:modified xsi:type="dcterms:W3CDTF">2026-03-10T08:33:38Z</dcterms:modified>
</cp:coreProperties>
</file>